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Bilancio e programmazione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Programmazione e pianificazione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Mandati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nell'effettuare i pagamenti previsti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di contabilita' - Regolamento sui controlli interni - Convenzione per il servizio di Tesoreria Comunale - Protocolli di intesa quadro tra Ragioneria Generale dello Stato, Corte dei Conti e Banca d'Italia - Regole tecniche OPI (11 dicembre 2017) - AGID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Bilancio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 IndirizzoPiazza Signorelli n.1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EMailragioneria@comune.parona.pv.it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PECparona.comune.pv@pec.it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GiornoOrario</w:t>
            </w:r>
          </w:p>
          <w:p w:rsidR="006A4793" w:rsidRDefault="006A4793" w:rsidP="006A4793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2B685B" w:rsidRDefault="006A4793" w:rsidP="006A4793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B685B" w:rsidRDefault="006A479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A479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B685B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A4793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6A371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1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2026-06-12T19:44:00Z</dcterms:modified>
</cp:coreProperties>
</file>